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9C" w:rsidRPr="008032E4" w:rsidRDefault="00A2239C" w:rsidP="00A2239C">
      <w:pPr>
        <w:rPr>
          <w:rFonts w:ascii="Times New Roman" w:hAnsi="Times New Roman" w:cs="Times New Roman"/>
          <w:sz w:val="28"/>
          <w:szCs w:val="28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447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2" cy="62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2239C" w:rsidRPr="00B447A1" w:rsidRDefault="00A2239C" w:rsidP="00A2239C">
      <w:pPr>
        <w:pStyle w:val="a4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proofErr w:type="spellStart"/>
      <w:r w:rsidRPr="00B447A1">
        <w:rPr>
          <w:rFonts w:ascii="Times New Roman" w:hAnsi="Times New Roman"/>
          <w:b/>
          <w:sz w:val="28"/>
          <w:szCs w:val="28"/>
        </w:rPr>
        <w:t>Україна</w:t>
      </w:r>
      <w:proofErr w:type="spellEnd"/>
      <w:r w:rsidRPr="00B447A1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 ЧЕРНЯХІВСЬКА РАЙОННА РАДА           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7A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447A1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447A1">
        <w:rPr>
          <w:rFonts w:ascii="Times New Roman" w:hAnsi="Times New Roman"/>
          <w:b/>
          <w:sz w:val="28"/>
          <w:szCs w:val="28"/>
        </w:rPr>
        <w:t xml:space="preserve"> Я</w:t>
      </w:r>
    </w:p>
    <w:p w:rsidR="00A2239C" w:rsidRPr="00B447A1" w:rsidRDefault="00A2239C" w:rsidP="00A2239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A2239C" w:rsidRPr="00B447A1" w:rsidRDefault="00A2239C" w:rsidP="00A2239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Тридцять четверта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сесія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r w:rsidRPr="00B447A1">
        <w:rPr>
          <w:rFonts w:ascii="Times New Roman" w:hAnsi="Times New Roman"/>
          <w:sz w:val="28"/>
          <w:szCs w:val="28"/>
          <w:lang w:val="en-US"/>
        </w:rPr>
        <w:t>VII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A2239C" w:rsidRPr="00B447A1" w:rsidRDefault="00A2239C" w:rsidP="00A2239C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B447A1">
        <w:rPr>
          <w:rFonts w:ascii="Times New Roman" w:hAnsi="Times New Roman"/>
          <w:sz w:val="28"/>
          <w:szCs w:val="28"/>
        </w:rPr>
        <w:t>від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B447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/>
          <w:sz w:val="28"/>
          <w:szCs w:val="28"/>
        </w:rPr>
        <w:t>грудня</w:t>
      </w:r>
      <w:proofErr w:type="spellEnd"/>
      <w:r w:rsidRPr="00B44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47A1">
        <w:rPr>
          <w:rFonts w:ascii="Times New Roman" w:hAnsi="Times New Roman"/>
          <w:sz w:val="28"/>
          <w:szCs w:val="28"/>
        </w:rPr>
        <w:t xml:space="preserve"> року</w:t>
      </w:r>
    </w:p>
    <w:p w:rsidR="00A2239C" w:rsidRPr="00B447A1" w:rsidRDefault="00A2239C" w:rsidP="00A22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</w:rPr>
        <w:t>Про</w:t>
      </w:r>
      <w:r w:rsidRPr="00A2239C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районн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ідтримки</w:t>
      </w:r>
      <w:proofErr w:type="spellEnd"/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Черняхівськ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медичн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</w:p>
    <w:p w:rsid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Черняхівської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 ради 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2239C" w:rsidRPr="00A2239C" w:rsidRDefault="00A2239C" w:rsidP="00A2239C">
      <w:pPr>
        <w:pStyle w:val="a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на 2020 - 2022 роки</w:t>
      </w:r>
    </w:p>
    <w:p w:rsidR="00A2239C" w:rsidRPr="00A2239C" w:rsidRDefault="00A2239C" w:rsidP="00A2239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A2239C">
        <w:rPr>
          <w:rFonts w:ascii="Times New Roman" w:hAnsi="Times New Roman"/>
          <w:sz w:val="28"/>
          <w:szCs w:val="28"/>
          <w:lang w:val="uk-UA"/>
        </w:rPr>
        <w:tab/>
      </w:r>
    </w:p>
    <w:p w:rsidR="009151ED" w:rsidRPr="009151ED" w:rsidRDefault="00A2239C" w:rsidP="009151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2239C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A2239C">
        <w:rPr>
          <w:rFonts w:ascii="Times New Roman" w:hAnsi="Times New Roman" w:cs="Times New Roman"/>
          <w:sz w:val="28"/>
          <w:szCs w:val="28"/>
          <w:lang w:val="uk-UA"/>
        </w:rPr>
        <w:t>, відповідно до Закону України «</w:t>
      </w:r>
      <w:r w:rsidRPr="00A2239C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Основи законодавства України про охорону здоров’я»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>», розглянувши клопотання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Черняхівськ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територіальн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медичн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 об'єднання»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Черняхівської  районної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ради   Житомирської області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№ </w:t>
      </w:r>
      <w:r w:rsidR="00A86F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24 від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A86F00">
        <w:rPr>
          <w:rFonts w:ascii="Times New Roman" w:hAnsi="Times New Roman" w:cs="Times New Roman"/>
          <w:sz w:val="28"/>
          <w:szCs w:val="28"/>
          <w:lang w:val="uk-UA" w:eastAsia="ru-RU"/>
        </w:rPr>
        <w:t>15.11.2019 року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 xml:space="preserve">,  з метою 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населенню Черняхі</w:t>
      </w:r>
      <w:r w:rsidR="000C7AB5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7AB5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2239C">
        <w:rPr>
          <w:rFonts w:ascii="Times New Roman" w:hAnsi="Times New Roman" w:cs="Times New Roman"/>
          <w:sz w:val="28"/>
          <w:szCs w:val="28"/>
          <w:lang w:val="uk-UA"/>
        </w:rPr>
        <w:t>та  враховуюч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и рекомендації </w:t>
      </w:r>
      <w:r w:rsidR="00915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1ED" w:rsidRPr="009151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9151ED" w:rsidRPr="009151ED">
        <w:rPr>
          <w:rFonts w:ascii="Times New Roman" w:hAnsi="Times New Roman" w:cs="Times New Roman"/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9151ED" w:rsidRPr="009151ED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9151ED" w:rsidRPr="009151ED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A2239C" w:rsidRPr="00B447A1" w:rsidRDefault="00A2239C" w:rsidP="00A223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7A1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A2239C" w:rsidRPr="000C7AB5" w:rsidRDefault="00A2239C" w:rsidP="000C7AB5">
      <w:p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1.Затвердити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районн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Черняхівськ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територіальн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медичн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об'єднання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Черняхівської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 xml:space="preserve"> ради 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7AB5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C7AB5" w:rsidRPr="00A2239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0C7A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0C7AB5" w:rsidRPr="00A2239C">
        <w:rPr>
          <w:rFonts w:ascii="Times New Roman" w:hAnsi="Times New Roman" w:cs="Times New Roman"/>
          <w:sz w:val="28"/>
          <w:szCs w:val="28"/>
          <w:lang w:val="uk-UA" w:eastAsia="ru-RU"/>
        </w:rPr>
        <w:t>2020 - 2022 роки</w:t>
      </w:r>
      <w:r w:rsidR="000C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AB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  <w:r w:rsidRPr="000C7AB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2239C" w:rsidRPr="00B447A1" w:rsidRDefault="00A2239C" w:rsidP="00A2239C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C7AB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447A1">
        <w:rPr>
          <w:rFonts w:ascii="Times New Roman" w:hAnsi="Times New Roman" w:cs="Times New Roman"/>
          <w:sz w:val="28"/>
          <w:szCs w:val="28"/>
        </w:rPr>
        <w:t xml:space="preserve">2.Управлінню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радам 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передбачати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7A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>.</w:t>
      </w:r>
    </w:p>
    <w:p w:rsidR="000C7AB5" w:rsidRDefault="00A2239C" w:rsidP="000C7AB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 xml:space="preserve">    3. Контроль за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B447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та                 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47A1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B447A1">
        <w:rPr>
          <w:rFonts w:ascii="Times New Roman" w:hAnsi="Times New Roman" w:cs="Times New Roman"/>
          <w:bCs/>
          <w:sz w:val="28"/>
          <w:szCs w:val="28"/>
        </w:rPr>
        <w:t xml:space="preserve"> району.</w:t>
      </w:r>
    </w:p>
    <w:p w:rsidR="000C7AB5" w:rsidRPr="000C7AB5" w:rsidRDefault="000C7AB5" w:rsidP="000C7AB5">
      <w:pPr>
        <w:spacing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C4A28" w:rsidRDefault="00A2239C" w:rsidP="00A86F0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7A1">
        <w:rPr>
          <w:rFonts w:ascii="Times New Roman" w:hAnsi="Times New Roman" w:cs="Times New Roman"/>
          <w:sz w:val="28"/>
          <w:szCs w:val="28"/>
        </w:rPr>
        <w:t>Голова ради</w:t>
      </w:r>
      <w:proofErr w:type="gramStart"/>
      <w:r w:rsidRPr="00B44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B447A1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B447A1">
        <w:rPr>
          <w:rFonts w:ascii="Times New Roman" w:hAnsi="Times New Roman" w:cs="Times New Roman"/>
          <w:sz w:val="28"/>
          <w:szCs w:val="28"/>
        </w:rPr>
        <w:t>П.Бовсунівський</w:t>
      </w:r>
      <w:proofErr w:type="spellEnd"/>
      <w:r w:rsidRPr="00B447A1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C7AB5" w:rsidRPr="000C7AB5" w:rsidRDefault="000C7AB5" w:rsidP="00A86F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7257" w:rsidRPr="00334558" w:rsidRDefault="005C4A28" w:rsidP="00F372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</w:t>
      </w:r>
      <w:r w:rsidR="00F37257"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proofErr w:type="spellStart"/>
      <w:r w:rsidR="00F37257" w:rsidRPr="00334558"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</w:p>
    <w:p w:rsidR="00F37257" w:rsidRPr="00334558" w:rsidRDefault="00F37257" w:rsidP="00F3725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5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4558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proofErr w:type="gramStart"/>
      <w:r w:rsidRPr="0033455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34558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33455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сесії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4558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  <w:r w:rsidRPr="00334558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F37257" w:rsidRPr="008E654E" w:rsidRDefault="00F37257" w:rsidP="00F37257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Pr="008E6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3345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грудня </w:t>
      </w:r>
      <w:r w:rsidRPr="008E6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 року</w:t>
      </w:r>
    </w:p>
    <w:p w:rsidR="00F37257" w:rsidRPr="008E654E" w:rsidRDefault="00F37257" w:rsidP="00F37257">
      <w:pPr>
        <w:jc w:val="both"/>
        <w:rPr>
          <w:bCs/>
          <w:sz w:val="28"/>
          <w:szCs w:val="28"/>
          <w:lang w:val="uk-UA"/>
        </w:rPr>
      </w:pPr>
    </w:p>
    <w:p w:rsidR="00995EE3" w:rsidRPr="00334558" w:rsidRDefault="00540F1B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65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ПАСПОРТ</w:t>
      </w:r>
    </w:p>
    <w:p w:rsidR="006F2DD5" w:rsidRPr="00334558" w:rsidRDefault="00540F1B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районної Програми фінансової підтримки</w:t>
      </w:r>
      <w:r w:rsidR="006F2DD5" w:rsidRPr="00334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Комунального некомерційно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 підприємства " Черняхівськ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територіальн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медичн</w:t>
      </w:r>
      <w:r w:rsid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об'єднання" Черняхівської  районної</w:t>
      </w:r>
      <w:r w:rsidR="006F2DD5"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ради </w:t>
      </w:r>
      <w:r w:rsidR="00A33D85" w:rsidRPr="003345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2239C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Житомирської області</w:t>
      </w:r>
      <w:r w:rsidR="006F2DD5"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6F2DD5"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2020 - 2022 роки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A72F5" w:rsidRPr="00334558" w:rsidTr="004069ED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4069ED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4C6C37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4C6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715473" w:rsidRDefault="001A72F5" w:rsidP="00EB3F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КНП "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Черняхівське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ТМО</w:t>
            </w:r>
            <w:r w:rsidRP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</w:t>
            </w:r>
            <w:r w:rsidR="00715473" w:rsidRP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,</w:t>
            </w:r>
            <w:r w:rsid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райдержадміністрація, </w:t>
            </w:r>
            <w:r w:rsidR="00715473" w:rsidRP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районна рада</w:t>
            </w:r>
            <w:r w:rsid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, сільські, селищні </w:t>
            </w:r>
            <w:proofErr w:type="gramStart"/>
            <w:r w:rsid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ради</w:t>
            </w:r>
            <w:proofErr w:type="gramEnd"/>
            <w:r w:rsidR="00715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, </w:t>
            </w:r>
            <w:r w:rsidR="007154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8E654E" w:rsidRDefault="001A72F5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8E65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рр.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 тому </w:t>
            </w:r>
            <w:proofErr w:type="spell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числі</w:t>
            </w:r>
            <w:proofErr w:type="spell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4786" w:type="dxa"/>
            <w:vAlign w:val="bottom"/>
          </w:tcPr>
          <w:p w:rsidR="001A72F5" w:rsidRPr="004C6C37" w:rsidRDefault="001A72F5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2020 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межах фінансових можливостей 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2021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межах фінансових можливостей</w:t>
            </w:r>
          </w:p>
        </w:tc>
      </w:tr>
      <w:tr w:rsidR="001A72F5" w:rsidRPr="00334558" w:rsidTr="009512C8">
        <w:tc>
          <w:tcPr>
            <w:tcW w:w="4785" w:type="dxa"/>
            <w:vAlign w:val="bottom"/>
          </w:tcPr>
          <w:p w:rsidR="001A72F5" w:rsidRPr="004C6C37" w:rsidRDefault="001A72F5" w:rsidP="001A72F5">
            <w:pPr>
              <w:spacing w:line="276" w:lineRule="auto"/>
              <w:ind w:firstLineChars="100" w:firstLine="2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2022 </w:t>
            </w:r>
            <w:proofErr w:type="spellStart"/>
            <w:proofErr w:type="gramStart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4C6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4786" w:type="dxa"/>
            <w:vAlign w:val="bottom"/>
          </w:tcPr>
          <w:p w:rsidR="001A72F5" w:rsidRPr="008B1C29" w:rsidRDefault="001A72F5" w:rsidP="00A33D85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2639B" w:rsidRPr="008B1C29" w:rsidRDefault="0032639B" w:rsidP="00A33D8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B1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межах фінансових можливостей</w:t>
            </w:r>
          </w:p>
        </w:tc>
      </w:tr>
    </w:tbl>
    <w:p w:rsidR="00205A4C" w:rsidRPr="00334558" w:rsidRDefault="00205A4C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72F5" w:rsidRPr="00334558" w:rsidRDefault="00205A4C" w:rsidP="006F2D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Визначення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якої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205A4C" w:rsidRPr="00334558" w:rsidRDefault="00205A4C" w:rsidP="00205A4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"Черняхівське територіальне медичне об'єднання " Черняхівської районної ради Житомирської області (далі — КНП "Черняхівське ТМО") створене рішенням тридцять третьої сесії Черняхівської районної ради </w:t>
      </w:r>
      <w:r w:rsidR="00A33D85" w:rsidRPr="003345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05 листопада 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 року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"Про створен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комунального некомерційного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 "Черняхівське 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територіальне медичне </w:t>
      </w:r>
      <w:proofErr w:type="spellStart"/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б'єднання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Черняхівської районної ради Житомирської області  шляхом перетворення</w:t>
      </w:r>
      <w:r w:rsidR="0071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установи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"Черняхівськ</w:t>
      </w:r>
      <w:r w:rsidR="0071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</w:t>
      </w:r>
      <w:r w:rsidR="0071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торіальне 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5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медичне</w:t>
      </w: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б'єднання</w:t>
      </w:r>
      <w:proofErr w:type="spellEnd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853CE" w:rsidRPr="00334558" w:rsidRDefault="008853CE" w:rsidP="008853C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самостійним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господарюючим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суб’єктом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статусом комунального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некомерційного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господарську некомерційну діяльність, яка не передбачає отримання прибутку та спрямована на досягнення,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збереження,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зміцнення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здоров’я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населення.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самостійний баланс, здійснює фінансові операції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розрахунковий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рахунок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Черняхівському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управлінні державної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казначейської служби України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Житомирській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та розрахункові рахунки в інших  установах банків.</w:t>
      </w:r>
    </w:p>
    <w:p w:rsidR="008853CE" w:rsidRPr="00334558" w:rsidRDefault="002A793B" w:rsidP="008853C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Доступність,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сучасність,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функціональність,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ефективність,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ресурсна забезпеченість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своєчасність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основою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висококваліфікованої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удинних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бронхолегеневої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печінки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ускладнень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виразкової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шлунка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післяопераційних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ускладнень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поліклінічних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закладу.</w:t>
      </w:r>
    </w:p>
    <w:p w:rsidR="002A793B" w:rsidRPr="00334558" w:rsidRDefault="002A793B" w:rsidP="0033455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 «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Черняхі</w:t>
      </w:r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вське</w:t>
      </w:r>
      <w:proofErr w:type="spellEnd"/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ТМО» на  2020 -2022  </w:t>
      </w:r>
      <w:proofErr w:type="spellStart"/>
      <w:r w:rsidR="00EB7A6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7A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4558" w:rsidRPr="00334558" w:rsidRDefault="002A793B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необхідністю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поліпшення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допомоги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населенню Черняхі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району;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34558" w:rsidRPr="00334558" w:rsidRDefault="002A793B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матеріально-технічної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бази;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4558" w:rsidRPr="00334558" w:rsidRDefault="00334558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престижу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медичних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працівників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покращення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їх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економічного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становища;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2A793B" w:rsidRPr="00334558" w:rsidRDefault="00334558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планової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ургентної висококваліфікованої </w:t>
      </w:r>
      <w:proofErr w:type="spellStart"/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лікувально</w:t>
      </w:r>
      <w:proofErr w:type="spellEnd"/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A793B"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діагностичної допомоги дорослому і дитячому населенню району.</w:t>
      </w:r>
    </w:p>
    <w:p w:rsidR="002A793B" w:rsidRPr="00334558" w:rsidRDefault="002A793B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КНП «Черняхівське ТМО»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поліклінічні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стаціонарні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підрозділи.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  2018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амбулаторно-поліклінічними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  149162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відвідувань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Стаціонарна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121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ліжку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За 2018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проліковано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5055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сіб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проведено  791  </w:t>
      </w:r>
      <w:proofErr w:type="spellStart"/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втручан</w:t>
      </w:r>
      <w:proofErr w:type="spellEnd"/>
      <w:r w:rsidR="009F63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F108A9" w:rsidRP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роки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покращилось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медикаментозне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ряд  проблем,  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народжуваності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цілому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демографічні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природний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хронічних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неінфекційних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кровообігу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артеріальної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гіпертензії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ішемічної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цереброваскулярних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злоякісних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новоутворень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хвороб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ендокринної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шлунково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кишкового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 тракту.</w:t>
      </w:r>
    </w:p>
    <w:p w:rsid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Зберігається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тенденція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росту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небезпечних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хвороб ,  у  тому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туберкульозу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,  ВІЛ/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СНІДу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престижу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навантаження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ікарів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погіршує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своєчасність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недофінансовується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потреби.  Не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виключенням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наш  заклад.  Основною  проблемою,  на  яку  буде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–  проблема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характеру   –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нестача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  оплату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:rsidR="00F108A9" w:rsidRPr="00334558" w:rsidRDefault="00F108A9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Дефіцит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фінансового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унеможливить подальшу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КНП «Чер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няхівське ТМО»,</w:t>
      </w:r>
      <w:r w:rsidR="003345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3345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4558"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кваліфікованого  персоналу,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забезпечення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виплати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заробітної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плати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обсязі,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закупівлі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матеріалів,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медикаментів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продуктів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стаціонарних хворих, покращення матеріально -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технічної бази тощо.</w:t>
      </w:r>
    </w:p>
    <w:p w:rsidR="00773DDF" w:rsidRPr="00334558" w:rsidRDefault="00773DDF" w:rsidP="002A793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Договором з Національною службою здоров’я України про медичне обслуговування населення з 2020 року за програмою медичних гарантій об</w:t>
      </w:r>
      <w:r w:rsidR="00C56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сяги фінансування лікарні зменша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порівняно з обсягам</w:t>
      </w:r>
      <w:r w:rsidR="00F57A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державної медичної субвенції. </w:t>
      </w:r>
      <w:r w:rsidR="00FB0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Державні гарантії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медичного обслуговування населення за програмою медичних гарантій для вторинної (спеціалізованої) медичної допомоги у</w:t>
      </w:r>
      <w:r w:rsidR="00F55E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Черняхівському районі – проводя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на умовах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місцевих бюджетів, за рахунок яких здійснюється оплата вартості комунальних послуг та енергоносіїв учасників, а також фінансування місцевих програм розвитку та підтримки комунальних закладів охорони здоров’я, в тому числі здійснення видатків, які не забезпечені надходженнями за договорами з НСЗУ.</w:t>
      </w:r>
    </w:p>
    <w:p w:rsidR="00334558" w:rsidRPr="00334558" w:rsidRDefault="00773DDF" w:rsidP="0033455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підтримки місцевих бюджетів, функціонування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 буде неможливим. Беручи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уваги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необхідність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вчасної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якісної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 допомоги,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виникає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вкрай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потреба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наданні КНП " Черняхівське ТМО " додаткової фінансової підтримки з місцевого бюджету.</w:t>
      </w:r>
    </w:p>
    <w:p w:rsidR="001F4662" w:rsidRPr="00334558" w:rsidRDefault="001F4662" w:rsidP="001F4662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239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Мета Програми</w:t>
      </w:r>
    </w:p>
    <w:p w:rsidR="008B5BA1" w:rsidRPr="00334558" w:rsidRDefault="008B5BA1" w:rsidP="008B5BA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 налагодження ефективного функціонування системи надання населенню доступної і високоякісної  вторинної (спеціалізованої) медичної допомоги, а також забезпечення розвитку та стабільної роботи відповідно до функціональних призначень щодо надання населенню належн</w:t>
      </w:r>
      <w:r w:rsidR="00910F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медичних послуг. Значна</w:t>
      </w:r>
      <w:r w:rsidR="00FA0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увага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приділятиметься механізмам залучення кваліфікованих кадрів у медичну галузь, забезпеченню належного рівня оплати їхньої праці, стимулюванню освоєння ними сучасних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лікувальних методів та технологій для надання якісної медичної допомоги, підвищенню контролю за якістю надання медичних послуг громадянам.</w:t>
      </w:r>
    </w:p>
    <w:p w:rsidR="00F34750" w:rsidRPr="00334558" w:rsidRDefault="00BA641D" w:rsidP="00BA641D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ІІІ.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Напрями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BA641D" w:rsidRPr="00334558" w:rsidRDefault="00BA641D" w:rsidP="00BA641D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здійснення медичної практики для безпосереднього забезпечення медичного обслуговування населення, шляхом надання йому кваліфікованої планової стаціонарної та спеціалізованої амбулаторно-поліклінічної допомоги;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пролікованих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медичному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BA641D" w:rsidRPr="00334558" w:rsidRDefault="00BA641D" w:rsidP="00BA641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перепідготовки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кадрів</w:t>
      </w:r>
      <w:proofErr w:type="spellEnd"/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A641D" w:rsidRPr="00334558" w:rsidRDefault="00BA641D" w:rsidP="0033455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Очікувані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</w:p>
    <w:p w:rsidR="00CC7DC5" w:rsidRPr="00334558" w:rsidRDefault="00CC7DC5" w:rsidP="0033455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безперебійного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4C6C3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 -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профілактичної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зниженню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захворюваності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закладу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кваліфікованими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кадрами;</w:t>
      </w:r>
    </w:p>
    <w:p w:rsidR="00F37257" w:rsidRPr="00334558" w:rsidRDefault="00F37257" w:rsidP="0033455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34558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заборгованості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7257" w:rsidRPr="00334558" w:rsidRDefault="00F37257" w:rsidP="00F3725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Обсяги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джерела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громад.</w:t>
      </w:r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Кошти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результатами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ідприємством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запланованих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ідтримки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2020 - 2022 роки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.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включено до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планом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4558" w:rsidRDefault="00334558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7257" w:rsidRPr="00334558" w:rsidRDefault="00F37257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 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контроль за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</w:t>
      </w:r>
      <w:proofErr w:type="spellEnd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334558" w:rsidRDefault="00F37257" w:rsidP="00334558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6C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та координацію виконання заходів Програми здійснює Комунальне некомерційне підприємство "Черняхівське територіальне медичне об'єднання " Черняхівської районної ради Житомирської області  спільно з Черняхівською  </w:t>
      </w:r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районною радою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контроль за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постійна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4C6C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соціального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захисту</w:t>
      </w:r>
      <w:proofErr w:type="spellEnd"/>
      <w:r w:rsidR="00334558" w:rsidRPr="003345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34558" w:rsidRPr="00334558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 w:rsidR="0033455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34558" w:rsidRPr="00334558" w:rsidRDefault="00334558" w:rsidP="0033455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34558" w:rsidRPr="00334558" w:rsidRDefault="00334558" w:rsidP="00F372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34558" w:rsidRDefault="00334558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голови ради </w:t>
      </w: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В.Р.</w:t>
      </w:r>
      <w:proofErr w:type="spellStart"/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Троценко</w:t>
      </w:r>
      <w:proofErr w:type="spellEnd"/>
      <w:r w:rsidRPr="003345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4912" w:rsidRDefault="00574912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Pr="00D51D6F" w:rsidRDefault="006E64A1" w:rsidP="006E64A1">
      <w:pPr>
        <w:pStyle w:val="a4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          </w:t>
      </w:r>
      <w:r w:rsidR="00D51D6F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73A8D" w:rsidRPr="00D51D6F">
        <w:rPr>
          <w:rFonts w:ascii="Times New Roman" w:hAnsi="Times New Roman" w:cs="Times New Roman"/>
          <w:b/>
          <w:sz w:val="24"/>
          <w:szCs w:val="24"/>
          <w:lang w:val="uk-UA" w:eastAsia="ru-RU"/>
        </w:rPr>
        <w:t>Додаток 1</w:t>
      </w:r>
    </w:p>
    <w:p w:rsidR="006E64A1" w:rsidRPr="00D51D6F" w:rsidRDefault="00D51D6F" w:rsidP="00D51D6F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</w:t>
      </w:r>
      <w:r w:rsidR="00773A8D" w:rsidRPr="00D51D6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6E64A1"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районної Програми фінансової підтримки</w:t>
      </w:r>
    </w:p>
    <w:p w:rsidR="006E64A1" w:rsidRPr="00D51D6F" w:rsidRDefault="006E64A1" w:rsidP="00326B9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</w:t>
      </w:r>
      <w:r w:rsidR="00326B9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</w:t>
      </w: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КНП" Черняхівське ТМО</w:t>
      </w:r>
      <w:r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" </w:t>
      </w:r>
      <w:r w:rsidR="00326B9B" w:rsidRPr="004C6C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на 2020 - 2022 роки</w:t>
      </w:r>
    </w:p>
    <w:p w:rsidR="00DA423A" w:rsidRDefault="006E64A1" w:rsidP="006E64A1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</w:t>
      </w:r>
      <w:r w:rsid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</w:p>
    <w:p w:rsidR="00D51D6F" w:rsidRPr="00326B9B" w:rsidRDefault="00D51D6F" w:rsidP="006E64A1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</w:t>
      </w:r>
      <w:r w:rsidR="006E64A1" w:rsidRPr="00D51D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773A8D" w:rsidRPr="006E64A1" w:rsidRDefault="00D51D6F" w:rsidP="00D51D6F">
      <w:pPr>
        <w:tabs>
          <w:tab w:val="left" w:pos="724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План заходів </w:t>
      </w:r>
    </w:p>
    <w:tbl>
      <w:tblPr>
        <w:tblStyle w:val="a3"/>
        <w:tblW w:w="9889" w:type="dxa"/>
        <w:tblLayout w:type="fixed"/>
        <w:tblLook w:val="04A0"/>
      </w:tblPr>
      <w:tblGrid>
        <w:gridCol w:w="396"/>
        <w:gridCol w:w="2689"/>
        <w:gridCol w:w="3969"/>
        <w:gridCol w:w="1418"/>
        <w:gridCol w:w="1417"/>
      </w:tblGrid>
      <w:tr w:rsidR="00D51D6F" w:rsidRPr="00D51D6F" w:rsidTr="00CF047B">
        <w:tc>
          <w:tcPr>
            <w:tcW w:w="396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89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Назва напряму діяльності                     ( пріоритетні завдання)</w:t>
            </w:r>
          </w:p>
        </w:tc>
        <w:tc>
          <w:tcPr>
            <w:tcW w:w="3969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1418" w:type="dxa"/>
          </w:tcPr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Строк виконання Програми</w:t>
            </w:r>
          </w:p>
        </w:tc>
        <w:tc>
          <w:tcPr>
            <w:tcW w:w="1417" w:type="dxa"/>
          </w:tcPr>
          <w:p w:rsid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Джерела </w:t>
            </w:r>
            <w:r w:rsidR="005749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фінансуван</w:t>
            </w:r>
          </w:p>
          <w:p w:rsidR="00D51D6F" w:rsidRPr="004B0D81" w:rsidRDefault="00D51D6F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B0D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ня</w:t>
            </w:r>
            <w:proofErr w:type="spellEnd"/>
          </w:p>
        </w:tc>
      </w:tr>
      <w:tr w:rsidR="00E843BD" w:rsidTr="00CF047B">
        <w:trPr>
          <w:trHeight w:val="2040"/>
        </w:trPr>
        <w:tc>
          <w:tcPr>
            <w:tcW w:w="396" w:type="dxa"/>
            <w:vMerge w:val="restart"/>
          </w:tcPr>
          <w:p w:rsidR="00E843B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E843BD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Оплата праці з нарахуваннями на оплату праці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843BD" w:rsidRPr="005C4A28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доплати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обов’язкового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стимулюючого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характеру,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індексація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заробітної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плати,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матеріальна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="005C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E843BD" w:rsidTr="00CF047B">
        <w:trPr>
          <w:trHeight w:val="1005"/>
        </w:trPr>
        <w:tc>
          <w:tcPr>
            <w:tcW w:w="396" w:type="dxa"/>
            <w:vMerge/>
          </w:tcPr>
          <w:p w:rsidR="00E843BD" w:rsidRPr="00FE549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843BD" w:rsidRPr="00FE37C7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Сплата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єдиного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внеску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загально-обов’язкове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соціальне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</w:p>
        </w:tc>
        <w:tc>
          <w:tcPr>
            <w:tcW w:w="1418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E843BD" w:rsidRPr="00E843BD" w:rsidRDefault="00E843B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F047B" w:rsidTr="00CF047B">
        <w:trPr>
          <w:trHeight w:val="825"/>
        </w:trPr>
        <w:tc>
          <w:tcPr>
            <w:tcW w:w="396" w:type="dxa"/>
            <w:vMerge w:val="restart"/>
          </w:tcPr>
          <w:p w:rsidR="00CF047B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CF047B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CF047B" w:rsidRPr="00E843BD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</w:t>
            </w:r>
            <w:proofErr w:type="spellEnd"/>
            <w:r w:rsidR="00D61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інвентарю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F047B" w:rsidRPr="00851BA0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Господарчих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електротоварів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малоцінних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="00851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CF047B" w:rsidRPr="00E843BD" w:rsidRDefault="00CF047B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CF047B" w:rsidRPr="00E843BD" w:rsidRDefault="00CF047B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CF047B" w:rsidTr="00CF047B">
        <w:trPr>
          <w:trHeight w:val="270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F047B" w:rsidRPr="00CF047B" w:rsidRDefault="00851BA0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аливно-мастильних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запчастин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F047B" w:rsidTr="00CF047B">
        <w:trPr>
          <w:trHeight w:val="333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CF047B" w:rsidRDefault="00851BA0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</w:t>
            </w:r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твердий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CF047B" w:rsidTr="00CF047B">
        <w:trPr>
          <w:trHeight w:val="285"/>
        </w:trPr>
        <w:tc>
          <w:tcPr>
            <w:tcW w:w="396" w:type="dxa"/>
            <w:vMerge/>
          </w:tcPr>
          <w:p w:rsidR="00CF047B" w:rsidRPr="00D51D6F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CF047B" w:rsidRPr="00FE37C7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851BA0" w:rsidRDefault="00A2239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анцелярського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письмового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приладдя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бланків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паперу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друкованої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медичне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інструментарій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</w:t>
            </w:r>
            <w:proofErr w:type="spellEnd"/>
            <w:r w:rsidR="00CF047B"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CF047B" w:rsidRDefault="00CF047B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CF047B">
        <w:trPr>
          <w:trHeight w:val="252"/>
        </w:trPr>
        <w:tc>
          <w:tcPr>
            <w:tcW w:w="396" w:type="dxa"/>
            <w:vMerge/>
          </w:tcPr>
          <w:p w:rsidR="00596B66" w:rsidRPr="00D51D6F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96B66" w:rsidRPr="00FE37C7" w:rsidRDefault="00596B66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255"/>
        </w:trPr>
        <w:tc>
          <w:tcPr>
            <w:tcW w:w="396" w:type="dxa"/>
            <w:vMerge w:val="restart"/>
          </w:tcPr>
          <w:p w:rsidR="00596B66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596B66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596B66" w:rsidRPr="00596B66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перев’язуваль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іалів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96B66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96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перев’язувальних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596B66" w:rsidRPr="00E843BD" w:rsidRDefault="00596B66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2020-2022 роки</w:t>
            </w:r>
          </w:p>
        </w:tc>
        <w:tc>
          <w:tcPr>
            <w:tcW w:w="1417" w:type="dxa"/>
            <w:vMerge w:val="restart"/>
          </w:tcPr>
          <w:p w:rsidR="00596B66" w:rsidRPr="00E843BD" w:rsidRDefault="00596B66" w:rsidP="00EB3F85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84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Кошти місцевих бюджетів </w:t>
            </w:r>
          </w:p>
        </w:tc>
      </w:tr>
      <w:tr w:rsidR="00596B66" w:rsidTr="00596B66">
        <w:trPr>
          <w:trHeight w:val="225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96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r w:rsidRPr="00596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255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596B66" w:rsidTr="00596B66">
        <w:trPr>
          <w:trHeight w:val="330"/>
        </w:trPr>
        <w:tc>
          <w:tcPr>
            <w:tcW w:w="396" w:type="dxa"/>
            <w:vMerge/>
          </w:tcPr>
          <w:p w:rsidR="00596B66" w:rsidRPr="00FE549D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596B66" w:rsidRPr="00FE37C7" w:rsidRDefault="00596B66" w:rsidP="00596B66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96B66" w:rsidRP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дезінфікуючих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596B66" w:rsidRDefault="00596B66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0241DD" w:rsidTr="000241DD">
        <w:trPr>
          <w:trHeight w:val="315"/>
        </w:trPr>
        <w:tc>
          <w:tcPr>
            <w:tcW w:w="396" w:type="dxa"/>
            <w:vMerge w:val="restart"/>
          </w:tcPr>
          <w:p w:rsidR="000241D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="000241DD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харчування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4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r w:rsidRPr="00024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родукти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0241DD" w:rsidRPr="00FE37C7" w:rsidRDefault="000241D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  <w:vMerge w:val="restart"/>
          </w:tcPr>
          <w:p w:rsidR="000241DD" w:rsidRPr="00FE37C7" w:rsidRDefault="000241D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41DD" w:rsidTr="000241DD">
        <w:trPr>
          <w:trHeight w:val="225"/>
        </w:trPr>
        <w:tc>
          <w:tcPr>
            <w:tcW w:w="396" w:type="dxa"/>
            <w:vMerge/>
          </w:tcPr>
          <w:p w:rsidR="000241DD" w:rsidRPr="00FE549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0241DD" w:rsidRPr="00FE37C7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241DD" w:rsidRP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хліб.</w:t>
            </w:r>
          </w:p>
        </w:tc>
        <w:tc>
          <w:tcPr>
            <w:tcW w:w="1418" w:type="dxa"/>
            <w:vMerge/>
          </w:tcPr>
          <w:p w:rsid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0241DD" w:rsidRDefault="000241D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80"/>
        </w:trPr>
        <w:tc>
          <w:tcPr>
            <w:tcW w:w="396" w:type="dxa"/>
            <w:vMerge w:val="restart"/>
          </w:tcPr>
          <w:p w:rsidR="004B0D81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4B0D81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 w:val="restart"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27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12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95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оплата 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газу</w:t>
            </w:r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4B0D81" w:rsidTr="004B0D81">
        <w:trPr>
          <w:trHeight w:val="135"/>
        </w:trPr>
        <w:tc>
          <w:tcPr>
            <w:tcW w:w="396" w:type="dxa"/>
            <w:vMerge/>
          </w:tcPr>
          <w:p w:rsidR="004B0D81" w:rsidRPr="00FE549D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4B0D81" w:rsidRPr="00FE37C7" w:rsidRDefault="004B0D81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B0D81" w:rsidRPr="00DA423A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="00DA4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4B0D81" w:rsidRDefault="004B0D81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326B9B" w:rsidTr="00CF047B">
        <w:tc>
          <w:tcPr>
            <w:tcW w:w="396" w:type="dxa"/>
          </w:tcPr>
          <w:p w:rsidR="00326B9B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326B9B"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</w:tcPr>
          <w:p w:rsidR="00326B9B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326B9B" w:rsidRPr="00FE37C7" w:rsidRDefault="00326B9B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B6C1E">
        <w:trPr>
          <w:trHeight w:val="240"/>
        </w:trPr>
        <w:tc>
          <w:tcPr>
            <w:tcW w:w="396" w:type="dxa"/>
            <w:vMerge w:val="restart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  <w:vMerge w:val="restart"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5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післядипломної підготовки                                      ( перепідготовки) кадрів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кваліфікації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 w:val="restart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  <w:vMerge w:val="restart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B6C1E">
        <w:trPr>
          <w:trHeight w:val="24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участь 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семінарах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49D" w:rsidTr="003B6C1E">
        <w:trPr>
          <w:trHeight w:val="12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504C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відповідальних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3B6C1E">
        <w:trPr>
          <w:trHeight w:val="12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CB0C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за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цивільний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захист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3B6C1E">
        <w:trPr>
          <w:trHeight w:val="330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423A" w:rsidRDefault="00DA423A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тендерного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FE549D">
        <w:trPr>
          <w:trHeight w:val="375"/>
        </w:trPr>
        <w:tc>
          <w:tcPr>
            <w:tcW w:w="396" w:type="dxa"/>
            <w:vMerge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89" w:type="dxa"/>
            <w:vMerge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FE549D" w:rsidTr="00DC387E">
        <w:trPr>
          <w:trHeight w:val="375"/>
        </w:trPr>
        <w:tc>
          <w:tcPr>
            <w:tcW w:w="396" w:type="dxa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Pr="00FE549D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поточні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сплата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податків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зборів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обов’язкових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3A0FE6">
        <w:trPr>
          <w:trHeight w:val="375"/>
        </w:trPr>
        <w:tc>
          <w:tcPr>
            <w:tcW w:w="396" w:type="dxa"/>
          </w:tcPr>
          <w:p w:rsidR="00FE549D" w:rsidRPr="00FE549D" w:rsidRDefault="00FE549D" w:rsidP="00FE549D">
            <w:pPr>
              <w:tabs>
                <w:tab w:val="left" w:pos="724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 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капітальний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реконструкція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FE549D" w:rsidTr="009E1D1A">
        <w:trPr>
          <w:trHeight w:val="375"/>
        </w:trPr>
        <w:tc>
          <w:tcPr>
            <w:tcW w:w="396" w:type="dxa"/>
          </w:tcPr>
          <w:p w:rsidR="00FE549D" w:rsidRPr="00FE549D" w:rsidRDefault="00FE549D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E549D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689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виплати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Пільгові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згідно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постанови КМУ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17.08.1998 року №1303 «Про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впорядкування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безоплатного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пільгового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відпуску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лікарських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рецептами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амбулаторного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окремих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за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певними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категоріями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захворювань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     </w:t>
            </w: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зі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змінами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зубопротезування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ветеранів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ійни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FE549D" w:rsidRPr="00FE37C7" w:rsidRDefault="00FE549D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565C" w:rsidTr="002266CD">
        <w:trPr>
          <w:trHeight w:val="375"/>
        </w:trPr>
        <w:tc>
          <w:tcPr>
            <w:tcW w:w="396" w:type="dxa"/>
          </w:tcPr>
          <w:p w:rsidR="0002565C" w:rsidRPr="0002565C" w:rsidRDefault="0002565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2565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689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Виплати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допомог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418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02565C" w:rsidTr="00F75663">
        <w:trPr>
          <w:trHeight w:val="375"/>
        </w:trPr>
        <w:tc>
          <w:tcPr>
            <w:tcW w:w="396" w:type="dxa"/>
          </w:tcPr>
          <w:p w:rsidR="0002565C" w:rsidRPr="0002565C" w:rsidRDefault="0002565C" w:rsidP="00334558">
            <w:pPr>
              <w:tabs>
                <w:tab w:val="left" w:pos="7245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02565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689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Відрядження</w:t>
            </w:r>
            <w:proofErr w:type="spellEnd"/>
          </w:p>
        </w:tc>
        <w:tc>
          <w:tcPr>
            <w:tcW w:w="1418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2020-2022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оки</w:t>
            </w:r>
            <w:proofErr w:type="spellEnd"/>
          </w:p>
        </w:tc>
        <w:tc>
          <w:tcPr>
            <w:tcW w:w="1417" w:type="dxa"/>
          </w:tcPr>
          <w:p w:rsidR="0002565C" w:rsidRPr="00FE37C7" w:rsidRDefault="0002565C" w:rsidP="00EB3F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місцевих</w:t>
            </w:r>
            <w:proofErr w:type="spellEnd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бюджеті</w:t>
            </w:r>
            <w:proofErr w:type="gramStart"/>
            <w:r w:rsidRPr="00FE3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</w:tbl>
    <w:p w:rsidR="00773A8D" w:rsidRPr="006E64A1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02565C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голови ради                                                          В.Р.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Троценко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73A8D" w:rsidRPr="00334558" w:rsidRDefault="00773A8D" w:rsidP="00334558">
      <w:pPr>
        <w:tabs>
          <w:tab w:val="left" w:pos="724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773A8D" w:rsidRPr="00334558" w:rsidSect="000C7AB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F1B"/>
    <w:rsid w:val="00014986"/>
    <w:rsid w:val="000241DD"/>
    <w:rsid w:val="0002565C"/>
    <w:rsid w:val="000C7AB5"/>
    <w:rsid w:val="00166541"/>
    <w:rsid w:val="00197E6F"/>
    <w:rsid w:val="001A72F5"/>
    <w:rsid w:val="001C2297"/>
    <w:rsid w:val="001F4662"/>
    <w:rsid w:val="00205A4C"/>
    <w:rsid w:val="002A793B"/>
    <w:rsid w:val="0032639B"/>
    <w:rsid w:val="00326B9B"/>
    <w:rsid w:val="00334558"/>
    <w:rsid w:val="00417FDA"/>
    <w:rsid w:val="004B0D81"/>
    <w:rsid w:val="00540F1B"/>
    <w:rsid w:val="00574912"/>
    <w:rsid w:val="00596B66"/>
    <w:rsid w:val="005C472B"/>
    <w:rsid w:val="005C4A28"/>
    <w:rsid w:val="005D12C2"/>
    <w:rsid w:val="00617D02"/>
    <w:rsid w:val="006E64A1"/>
    <w:rsid w:val="006F2DD5"/>
    <w:rsid w:val="00715473"/>
    <w:rsid w:val="00773A8D"/>
    <w:rsid w:val="00773DDF"/>
    <w:rsid w:val="008032E4"/>
    <w:rsid w:val="00851BA0"/>
    <w:rsid w:val="008853CE"/>
    <w:rsid w:val="008B1C29"/>
    <w:rsid w:val="008B5BA1"/>
    <w:rsid w:val="008E654E"/>
    <w:rsid w:val="00910F28"/>
    <w:rsid w:val="00911C60"/>
    <w:rsid w:val="009151ED"/>
    <w:rsid w:val="009F63B3"/>
    <w:rsid w:val="00A2239C"/>
    <w:rsid w:val="00A33D85"/>
    <w:rsid w:val="00A86F00"/>
    <w:rsid w:val="00AB673C"/>
    <w:rsid w:val="00AC3966"/>
    <w:rsid w:val="00BA641D"/>
    <w:rsid w:val="00C257AF"/>
    <w:rsid w:val="00C5628C"/>
    <w:rsid w:val="00C717D4"/>
    <w:rsid w:val="00CC7DC5"/>
    <w:rsid w:val="00CF047B"/>
    <w:rsid w:val="00D51D6F"/>
    <w:rsid w:val="00D6112E"/>
    <w:rsid w:val="00DA423A"/>
    <w:rsid w:val="00E843BD"/>
    <w:rsid w:val="00EB7A6D"/>
    <w:rsid w:val="00F108A9"/>
    <w:rsid w:val="00F17B11"/>
    <w:rsid w:val="00F34750"/>
    <w:rsid w:val="00F37257"/>
    <w:rsid w:val="00F55E26"/>
    <w:rsid w:val="00F57A93"/>
    <w:rsid w:val="00FA0CD1"/>
    <w:rsid w:val="00FB0C37"/>
    <w:rsid w:val="00FE549D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2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3725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A2239C"/>
  </w:style>
  <w:style w:type="paragraph" w:styleId="a6">
    <w:name w:val="Balloon Text"/>
    <w:basedOn w:val="a"/>
    <w:link w:val="a7"/>
    <w:uiPriority w:val="99"/>
    <w:semiHidden/>
    <w:unhideWhenUsed/>
    <w:rsid w:val="00A22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2019-12-18T05:59:00Z</cp:lastPrinted>
  <dcterms:created xsi:type="dcterms:W3CDTF">2019-11-22T09:38:00Z</dcterms:created>
  <dcterms:modified xsi:type="dcterms:W3CDTF">2019-12-18T06:01:00Z</dcterms:modified>
</cp:coreProperties>
</file>